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B8946" w14:textId="6E24D6F0" w:rsidR="00A72648" w:rsidRDefault="00A72648" w:rsidP="00A72648">
      <w:r>
        <w:t xml:space="preserve">Niels Johan Juhl-Nielsen, </w:t>
      </w:r>
      <w:r w:rsidR="0058439D">
        <w:t xml:space="preserve">Danish delegate at the UNESCO conference ”Learning Cities”, Mexico City, </w:t>
      </w:r>
      <w:r w:rsidR="007434ED">
        <w:t>28-30</w:t>
      </w:r>
      <w:r>
        <w:t xml:space="preserve"> </w:t>
      </w:r>
      <w:r w:rsidR="0058439D">
        <w:t>S</w:t>
      </w:r>
      <w:r>
        <w:t xml:space="preserve">eptember 2015. </w:t>
      </w:r>
    </w:p>
    <w:p w14:paraId="28CE0BC9" w14:textId="77777777" w:rsidR="00A72648" w:rsidRDefault="00A72648" w:rsidP="00A72648"/>
    <w:p w14:paraId="03A6F132" w14:textId="20696F08" w:rsidR="00A72648" w:rsidRDefault="0058439D" w:rsidP="00A72648">
      <w:r>
        <w:t>September the 20th,</w:t>
      </w:r>
      <w:r w:rsidR="00A72648">
        <w:t xml:space="preserve"> 2015. </w:t>
      </w:r>
    </w:p>
    <w:p w14:paraId="367FB01B" w14:textId="77777777" w:rsidR="00A72648" w:rsidRDefault="00A72648" w:rsidP="00A72648"/>
    <w:p w14:paraId="5B93C456" w14:textId="77777777" w:rsidR="00A72648" w:rsidRDefault="00A72648" w:rsidP="00A72648"/>
    <w:p w14:paraId="4EE010DA" w14:textId="77777777" w:rsidR="00A72648" w:rsidRDefault="00A72648" w:rsidP="00A72648"/>
    <w:p w14:paraId="04F34D78" w14:textId="77777777" w:rsidR="00A72648" w:rsidRDefault="00A72648" w:rsidP="00A72648"/>
    <w:p w14:paraId="04EFB902" w14:textId="77777777" w:rsidR="00A72648" w:rsidRDefault="00A72648" w:rsidP="00A72648"/>
    <w:p w14:paraId="7B992EFB" w14:textId="587E9911" w:rsidR="00A72648" w:rsidRDefault="0058439D" w:rsidP="00A72648">
      <w:r>
        <w:t xml:space="preserve">On September 28-30, </w:t>
      </w:r>
      <w:r w:rsidR="00A72648" w:rsidRPr="00D95B5E">
        <w:t xml:space="preserve">2015 </w:t>
      </w:r>
      <w:r>
        <w:t xml:space="preserve">I attend </w:t>
      </w:r>
      <w:r w:rsidR="007434ED">
        <w:t>- as a Danish delegate -</w:t>
      </w:r>
      <w:r>
        <w:t xml:space="preserve"> the UNESCO conference</w:t>
      </w:r>
      <w:r w:rsidR="00A72648" w:rsidRPr="00D95B5E">
        <w:t xml:space="preserve"> ”learning cities” i</w:t>
      </w:r>
      <w:r>
        <w:t>n</w:t>
      </w:r>
      <w:r w:rsidR="00D31CC3">
        <w:t xml:space="preserve"> Mexico City. The seco</w:t>
      </w:r>
      <w:r>
        <w:t>nd ”Learning C</w:t>
      </w:r>
      <w:r w:rsidR="00A72648" w:rsidRPr="00D95B5E">
        <w:t xml:space="preserve">ities” </w:t>
      </w:r>
      <w:r>
        <w:t>conference</w:t>
      </w:r>
      <w:r w:rsidR="00A72648" w:rsidRPr="00D95B5E">
        <w:t xml:space="preserve"> </w:t>
      </w:r>
      <w:r>
        <w:t>take</w:t>
      </w:r>
      <w:r w:rsidR="00D31CC3">
        <w:t>s</w:t>
      </w:r>
      <w:r>
        <w:t xml:space="preserve"> place with the headline</w:t>
      </w:r>
      <w:r w:rsidR="00A72648" w:rsidRPr="00D95B5E">
        <w:t xml:space="preserve"> ”building sustainable learning cities”.</w:t>
      </w:r>
      <w:r w:rsidR="00A72648">
        <w:t xml:space="preserve"> Se </w:t>
      </w:r>
      <w:hyperlink r:id="rId8" w:history="1">
        <w:r w:rsidR="00A72648" w:rsidRPr="00F61314">
          <w:rPr>
            <w:rStyle w:val="Llink"/>
          </w:rPr>
          <w:t>http://learningcities.uil.unesco.org/news-and-events/news/2015-06-26-towards-building-sustainable-learning-cities/6c8dfdd9bcfd532a0958c2a15e011c48</w:t>
        </w:r>
      </w:hyperlink>
    </w:p>
    <w:p w14:paraId="3EAC484C" w14:textId="77777777" w:rsidR="00A72648" w:rsidRDefault="00A72648" w:rsidP="00A72648"/>
    <w:p w14:paraId="725E61D9" w14:textId="51994E73" w:rsidR="00A72648" w:rsidRDefault="0058439D" w:rsidP="00A72648">
      <w:r>
        <w:t>At the first</w:t>
      </w:r>
      <w:r w:rsidR="00A72648">
        <w:t xml:space="preserve"> UNESCO ”Learning Cities”</w:t>
      </w:r>
      <w:r>
        <w:t xml:space="preserve"> conference</w:t>
      </w:r>
      <w:r w:rsidR="00A72648">
        <w:t xml:space="preserve"> i</w:t>
      </w:r>
      <w:r>
        <w:t xml:space="preserve">n Beijing in </w:t>
      </w:r>
      <w:r w:rsidR="00A72648">
        <w:t xml:space="preserve">2013 </w:t>
      </w:r>
      <w:r>
        <w:t>a declaration was adopted and also a document on</w:t>
      </w:r>
      <w:r w:rsidR="00A72648">
        <w:t xml:space="preserve"> </w:t>
      </w:r>
      <w:r>
        <w:t>Key Features. Look:</w:t>
      </w:r>
    </w:p>
    <w:p w14:paraId="29DCC4A9" w14:textId="77777777" w:rsidR="00A72648" w:rsidRDefault="00A72648" w:rsidP="00A72648">
      <w:hyperlink r:id="rId9" w:history="1">
        <w:r w:rsidRPr="00F61314">
          <w:rPr>
            <w:rStyle w:val="Llink"/>
          </w:rPr>
          <w:t>http://learningcities.uil.unesco.org/fileadmin/content/Publications/Conference/Beijing_Declaration_EN.pdf</w:t>
        </w:r>
      </w:hyperlink>
    </w:p>
    <w:p w14:paraId="15714091" w14:textId="5F2152B0" w:rsidR="00A72648" w:rsidRDefault="0058439D" w:rsidP="00A72648">
      <w:r>
        <w:t>and</w:t>
      </w:r>
    </w:p>
    <w:p w14:paraId="34C6C4DB" w14:textId="77777777" w:rsidR="00A72648" w:rsidRDefault="00A72648" w:rsidP="00A72648">
      <w:hyperlink r:id="rId10" w:history="1">
        <w:r w:rsidRPr="00F61314">
          <w:rPr>
            <w:rStyle w:val="Llink"/>
          </w:rPr>
          <w:t>http://learningcities.uil.unesco.org/key-features/key-features-of-learning-cities</w:t>
        </w:r>
      </w:hyperlink>
    </w:p>
    <w:p w14:paraId="487AD8A7" w14:textId="77777777" w:rsidR="00A72648" w:rsidRDefault="00A72648" w:rsidP="00A72648"/>
    <w:p w14:paraId="2BD6695E" w14:textId="5654C9E3" w:rsidR="00A72648" w:rsidRDefault="00210BCB" w:rsidP="00A72648">
      <w:pPr>
        <w:rPr>
          <w:rFonts w:cs="Calibri"/>
          <w:bCs/>
          <w:color w:val="1A1A1A"/>
          <w:lang w:val="en-US"/>
        </w:rPr>
      </w:pPr>
      <w:r>
        <w:t xml:space="preserve">Leader of the Danish delegation (total four persons) is </w:t>
      </w:r>
      <w:r w:rsidR="00A72648" w:rsidRPr="00D95B5E">
        <w:rPr>
          <w:rFonts w:cs="Calibri"/>
          <w:bCs/>
          <w:color w:val="1A1A1A"/>
          <w:lang w:val="en-US"/>
        </w:rPr>
        <w:t xml:space="preserve">Dansk Folkeoplysnings Samråd </w:t>
      </w:r>
      <w:r>
        <w:rPr>
          <w:rFonts w:cs="Calibri"/>
          <w:bCs/>
          <w:color w:val="1A1A1A"/>
          <w:lang w:val="en-US"/>
        </w:rPr>
        <w:t>by</w:t>
      </w:r>
      <w:r w:rsidR="00A72648" w:rsidRPr="00D95B5E">
        <w:rPr>
          <w:rFonts w:cs="Calibri"/>
          <w:bCs/>
          <w:color w:val="1A1A1A"/>
          <w:lang w:val="en-US"/>
        </w:rPr>
        <w:t xml:space="preserve"> </w:t>
      </w:r>
      <w:r w:rsidR="00D31CC3">
        <w:rPr>
          <w:rFonts w:cs="Calibri"/>
          <w:bCs/>
          <w:color w:val="1A1A1A"/>
          <w:lang w:val="en-US"/>
        </w:rPr>
        <w:t xml:space="preserve">the </w:t>
      </w:r>
      <w:r>
        <w:rPr>
          <w:rFonts w:cs="Calibri"/>
          <w:bCs/>
          <w:color w:val="1A1A1A"/>
          <w:lang w:val="en-US"/>
        </w:rPr>
        <w:t>secretary</w:t>
      </w:r>
      <w:r w:rsidR="00D31CC3">
        <w:rPr>
          <w:rFonts w:cs="Calibri"/>
          <w:bCs/>
          <w:color w:val="1A1A1A"/>
          <w:lang w:val="en-US"/>
        </w:rPr>
        <w:t xml:space="preserve"> </w:t>
      </w:r>
      <w:r>
        <w:rPr>
          <w:rFonts w:cs="Calibri"/>
          <w:bCs/>
          <w:color w:val="1A1A1A"/>
          <w:lang w:val="en-US"/>
        </w:rPr>
        <w:t xml:space="preserve">leader </w:t>
      </w:r>
      <w:r w:rsidR="00A72648" w:rsidRPr="00D95B5E">
        <w:rPr>
          <w:rFonts w:cs="Calibri"/>
          <w:bCs/>
          <w:color w:val="1A1A1A"/>
          <w:lang w:val="en-US"/>
        </w:rPr>
        <w:t>Trine Bendix Knudsen</w:t>
      </w:r>
      <w:r w:rsidR="00A72648">
        <w:rPr>
          <w:rFonts w:cs="Calibri"/>
          <w:bCs/>
          <w:color w:val="1A1A1A"/>
          <w:lang w:val="en-US"/>
        </w:rPr>
        <w:t>.</w:t>
      </w:r>
    </w:p>
    <w:p w14:paraId="5B9507CC" w14:textId="77777777" w:rsidR="00733F69" w:rsidRDefault="00733F69" w:rsidP="00A72648">
      <w:pPr>
        <w:rPr>
          <w:rFonts w:cs="Calibri"/>
          <w:bCs/>
          <w:color w:val="1A1A1A"/>
          <w:lang w:val="en-US"/>
        </w:rPr>
      </w:pPr>
    </w:p>
    <w:p w14:paraId="7F591657" w14:textId="46A762FE" w:rsidR="00733F69" w:rsidRPr="00733F69" w:rsidRDefault="00733F69" w:rsidP="00A72648">
      <w:pPr>
        <w:rPr>
          <w:rFonts w:cs="Calibri"/>
          <w:b/>
          <w:bCs/>
          <w:color w:val="1A1A1A"/>
          <w:lang w:val="en-US"/>
        </w:rPr>
      </w:pPr>
      <w:r w:rsidRPr="00733F69">
        <w:rPr>
          <w:rFonts w:cs="Calibri"/>
          <w:b/>
          <w:bCs/>
          <w:color w:val="1A1A1A"/>
          <w:lang w:val="en-US"/>
        </w:rPr>
        <w:t xml:space="preserve">Program for </w:t>
      </w:r>
      <w:r w:rsidR="0058439D">
        <w:rPr>
          <w:rFonts w:cs="Calibri"/>
          <w:b/>
          <w:bCs/>
          <w:color w:val="1A1A1A"/>
          <w:lang w:val="en-US"/>
        </w:rPr>
        <w:t xml:space="preserve">the conference in </w:t>
      </w:r>
      <w:r>
        <w:rPr>
          <w:rFonts w:cs="Calibri"/>
          <w:b/>
          <w:bCs/>
          <w:color w:val="1A1A1A"/>
          <w:lang w:val="en-US"/>
        </w:rPr>
        <w:t>Mexico City 2015</w:t>
      </w:r>
    </w:p>
    <w:p w14:paraId="17BB03C4" w14:textId="77777777" w:rsidR="00A72648" w:rsidRDefault="00A72648" w:rsidP="00A72648">
      <w:pPr>
        <w:rPr>
          <w:rFonts w:cs="Calibri"/>
          <w:bCs/>
          <w:color w:val="1A1A1A"/>
          <w:lang w:val="en-US"/>
        </w:rPr>
      </w:pPr>
    </w:p>
    <w:p w14:paraId="7C8C28ED" w14:textId="4ACED24B" w:rsidR="00A72648" w:rsidRDefault="008D380E" w:rsidP="00A72648">
      <w:pPr>
        <w:rPr>
          <w:rFonts w:cs="Calibri"/>
          <w:bCs/>
          <w:color w:val="1A1A1A"/>
          <w:lang w:val="en-US"/>
        </w:rPr>
      </w:pPr>
      <w:r>
        <w:rPr>
          <w:rFonts w:cs="Calibri"/>
          <w:bCs/>
          <w:color w:val="1A1A1A"/>
          <w:lang w:val="en-US"/>
        </w:rPr>
        <w:t>The conference has</w:t>
      </w:r>
      <w:r w:rsidR="00A72648">
        <w:rPr>
          <w:rFonts w:cs="Calibri"/>
          <w:bCs/>
          <w:color w:val="1A1A1A"/>
          <w:lang w:val="en-US"/>
        </w:rPr>
        <w:t xml:space="preserve"> </w:t>
      </w:r>
      <w:r>
        <w:rPr>
          <w:rFonts w:cs="Calibri"/>
          <w:bCs/>
          <w:color w:val="1A1A1A"/>
          <w:lang w:val="en-US"/>
        </w:rPr>
        <w:t>four plenary</w:t>
      </w:r>
      <w:r w:rsidR="00A72648">
        <w:rPr>
          <w:rFonts w:cs="Calibri"/>
          <w:bCs/>
          <w:color w:val="1A1A1A"/>
          <w:lang w:val="en-US"/>
        </w:rPr>
        <w:t xml:space="preserve"> sessions:</w:t>
      </w:r>
    </w:p>
    <w:p w14:paraId="280B0B2E" w14:textId="77777777" w:rsidR="00A72648" w:rsidRDefault="00A72648" w:rsidP="00A72648">
      <w:pPr>
        <w:rPr>
          <w:rFonts w:cs="Calibri"/>
          <w:bCs/>
          <w:color w:val="1A1A1A"/>
          <w:lang w:val="en-US"/>
        </w:rPr>
      </w:pPr>
    </w:p>
    <w:p w14:paraId="4AB89996" w14:textId="77777777" w:rsidR="00A72648" w:rsidRPr="002039E7" w:rsidRDefault="00A72648" w:rsidP="002039E7">
      <w:pPr>
        <w:pStyle w:val="Listeafsnit"/>
        <w:numPr>
          <w:ilvl w:val="0"/>
          <w:numId w:val="6"/>
        </w:numPr>
        <w:rPr>
          <w:rFonts w:cs="Calibri"/>
          <w:bCs/>
          <w:color w:val="1A1A1A"/>
          <w:lang w:val="en-US"/>
        </w:rPr>
      </w:pPr>
      <w:r w:rsidRPr="002039E7">
        <w:rPr>
          <w:rFonts w:cs="Calibri"/>
          <w:bCs/>
          <w:color w:val="1A1A1A"/>
          <w:lang w:val="en-US"/>
        </w:rPr>
        <w:t>Working strategies for a sustainable learning city</w:t>
      </w:r>
    </w:p>
    <w:p w14:paraId="26E8D9F9" w14:textId="77777777" w:rsidR="00A72648" w:rsidRPr="002039E7" w:rsidRDefault="00A72648" w:rsidP="002039E7">
      <w:pPr>
        <w:pStyle w:val="Listeafsnit"/>
        <w:numPr>
          <w:ilvl w:val="0"/>
          <w:numId w:val="6"/>
        </w:numPr>
        <w:rPr>
          <w:rFonts w:cs="Calibri"/>
          <w:bCs/>
          <w:color w:val="1A1A1A"/>
          <w:lang w:val="en-US"/>
        </w:rPr>
      </w:pPr>
      <w:r w:rsidRPr="002039E7">
        <w:rPr>
          <w:rFonts w:cs="Calibri"/>
          <w:bCs/>
          <w:color w:val="1A1A1A"/>
          <w:lang w:val="en-US"/>
        </w:rPr>
        <w:t>Developing sustainable learning cities around the world</w:t>
      </w:r>
    </w:p>
    <w:p w14:paraId="4DFEEE10" w14:textId="77777777" w:rsidR="00A72648" w:rsidRPr="002039E7" w:rsidRDefault="00A72648" w:rsidP="002039E7">
      <w:pPr>
        <w:pStyle w:val="Listeafsnit"/>
        <w:numPr>
          <w:ilvl w:val="0"/>
          <w:numId w:val="6"/>
        </w:numPr>
        <w:rPr>
          <w:rFonts w:cs="Calibri"/>
          <w:bCs/>
          <w:color w:val="1A1A1A"/>
          <w:lang w:val="en-US"/>
        </w:rPr>
      </w:pPr>
      <w:r w:rsidRPr="002039E7">
        <w:rPr>
          <w:rFonts w:cs="Calibri"/>
          <w:bCs/>
          <w:color w:val="1A1A1A"/>
          <w:lang w:val="en-US"/>
        </w:rPr>
        <w:t>Stregthening partnership/networks for developing sustainable learning cities</w:t>
      </w:r>
    </w:p>
    <w:p w14:paraId="47FFB607" w14:textId="77777777" w:rsidR="00A72648" w:rsidRPr="002039E7" w:rsidRDefault="00A72648" w:rsidP="002039E7">
      <w:pPr>
        <w:pStyle w:val="Listeafsnit"/>
        <w:numPr>
          <w:ilvl w:val="0"/>
          <w:numId w:val="6"/>
        </w:numPr>
        <w:rPr>
          <w:rFonts w:cs="Calibri"/>
          <w:bCs/>
          <w:color w:val="1A1A1A"/>
          <w:lang w:val="en-US"/>
        </w:rPr>
      </w:pPr>
      <w:r w:rsidRPr="002039E7">
        <w:rPr>
          <w:rFonts w:cs="Calibri"/>
          <w:bCs/>
          <w:color w:val="1A1A1A"/>
          <w:lang w:val="en-US"/>
        </w:rPr>
        <w:t>Implementing the Key Features for sustainable cities.</w:t>
      </w:r>
    </w:p>
    <w:p w14:paraId="37F6F8B2" w14:textId="77777777" w:rsidR="00A72648" w:rsidRDefault="00A72648" w:rsidP="00A72648">
      <w:pPr>
        <w:rPr>
          <w:rFonts w:cs="Calibri"/>
          <w:bCs/>
          <w:color w:val="1A1A1A"/>
          <w:lang w:val="en-US"/>
        </w:rPr>
      </w:pPr>
    </w:p>
    <w:p w14:paraId="18AF8973" w14:textId="20A7862D" w:rsidR="00A72648" w:rsidRPr="00A0154F" w:rsidRDefault="008D380E" w:rsidP="00A72648">
      <w:pPr>
        <w:rPr>
          <w:rFonts w:cs="Calibri"/>
          <w:bCs/>
          <w:color w:val="1A1A1A"/>
          <w:lang w:val="en-US"/>
        </w:rPr>
      </w:pPr>
      <w:r>
        <w:rPr>
          <w:rFonts w:cs="Calibri"/>
          <w:bCs/>
          <w:color w:val="1A1A1A"/>
          <w:lang w:val="en-US"/>
        </w:rPr>
        <w:t>Further the conference has four thematic</w:t>
      </w:r>
      <w:r w:rsidR="00A72648">
        <w:rPr>
          <w:rFonts w:cs="Calibri"/>
          <w:bCs/>
          <w:color w:val="1A1A1A"/>
          <w:lang w:val="en-US"/>
        </w:rPr>
        <w:t xml:space="preserve"> fora:</w:t>
      </w:r>
    </w:p>
    <w:p w14:paraId="2138D0E1" w14:textId="77777777" w:rsidR="00A72648" w:rsidRDefault="00A72648" w:rsidP="00A72648">
      <w:pPr>
        <w:rPr>
          <w:rFonts w:cs="Calibri"/>
          <w:bCs/>
          <w:color w:val="1A1A1A"/>
          <w:lang w:val="en-US"/>
        </w:rPr>
      </w:pPr>
    </w:p>
    <w:p w14:paraId="1BB201E3" w14:textId="77777777" w:rsidR="00A72648" w:rsidRPr="00B92F2C" w:rsidRDefault="00A72648" w:rsidP="00A72648">
      <w:pPr>
        <w:pStyle w:val="Overskrift1"/>
        <w:spacing w:before="0" w:line="240" w:lineRule="auto"/>
        <w:rPr>
          <w:rFonts w:asciiTheme="minorHAnsi" w:hAnsiTheme="minorHAnsi"/>
          <w:color w:val="auto"/>
          <w:sz w:val="24"/>
          <w:szCs w:val="24"/>
          <w:lang w:val="en-US"/>
        </w:rPr>
      </w:pPr>
      <w:r w:rsidRPr="00B92F2C">
        <w:rPr>
          <w:rFonts w:asciiTheme="minorHAnsi" w:hAnsiTheme="minorHAnsi"/>
          <w:color w:val="auto"/>
          <w:sz w:val="24"/>
          <w:szCs w:val="24"/>
          <w:lang w:val="en-US"/>
        </w:rPr>
        <w:t xml:space="preserve">Thematic forum 1: </w:t>
      </w:r>
    </w:p>
    <w:p w14:paraId="16FF1325" w14:textId="77777777" w:rsidR="00A72648" w:rsidRPr="00B92F2C" w:rsidRDefault="00A72648" w:rsidP="00A72648">
      <w:pPr>
        <w:rPr>
          <w:color w:val="000000"/>
          <w:lang w:val="en-US"/>
        </w:rPr>
      </w:pPr>
      <w:r w:rsidRPr="00B92F2C">
        <w:rPr>
          <w:color w:val="000000"/>
          <w:lang w:val="en-US"/>
        </w:rPr>
        <w:t>How learning cities can foster global citizenship?</w:t>
      </w:r>
    </w:p>
    <w:p w14:paraId="528E3653" w14:textId="77777777" w:rsidR="00A72648" w:rsidRPr="00B92F2C" w:rsidRDefault="00A72648" w:rsidP="00A72648">
      <w:r w:rsidRPr="00B92F2C">
        <w:t>Thematic forum 2:</w:t>
      </w:r>
    </w:p>
    <w:p w14:paraId="34C6FDB9" w14:textId="77777777" w:rsidR="00A72648" w:rsidRPr="00B92F2C" w:rsidRDefault="00A72648" w:rsidP="00A72648">
      <w:pPr>
        <w:widowControl w:val="0"/>
        <w:autoSpaceDE w:val="0"/>
        <w:autoSpaceDN w:val="0"/>
        <w:adjustRightInd w:val="0"/>
        <w:spacing w:after="240"/>
        <w:rPr>
          <w:rStyle w:val="Kraftig"/>
          <w:b w:val="0"/>
          <w:lang w:val="en-US"/>
        </w:rPr>
      </w:pPr>
      <w:r w:rsidRPr="00B92F2C">
        <w:rPr>
          <w:rFonts w:cs="Times"/>
          <w:lang w:val="en-US"/>
        </w:rPr>
        <w:t xml:space="preserve">How learning cities can contribute to health and well-being?                                                          </w:t>
      </w:r>
      <w:r w:rsidRPr="00B92F2C">
        <w:t xml:space="preserve">Thematic forum 3:                                                                                                                                              </w:t>
      </w:r>
      <w:r w:rsidRPr="00B92F2C">
        <w:rPr>
          <w:lang w:val="en-US"/>
        </w:rPr>
        <w:t>How learning cities can encourage environmental stewardship?</w:t>
      </w:r>
      <w:r w:rsidRPr="00B92F2C">
        <w:t xml:space="preserve">                                                    Thematic forum 4:                                                                                                                                               </w:t>
      </w:r>
      <w:r w:rsidRPr="00B92F2C">
        <w:rPr>
          <w:rStyle w:val="Kraftig"/>
          <w:b w:val="0"/>
          <w:lang w:val="en-US"/>
        </w:rPr>
        <w:t>How learning cities can stimulate inclusive and sustainable economic growth?</w:t>
      </w:r>
    </w:p>
    <w:p w14:paraId="51006771" w14:textId="1452D0BB" w:rsidR="00A72648" w:rsidRPr="00B92F2C" w:rsidRDefault="00056335" w:rsidP="00A72648">
      <w:pPr>
        <w:widowControl w:val="0"/>
        <w:autoSpaceDE w:val="0"/>
        <w:autoSpaceDN w:val="0"/>
        <w:adjustRightInd w:val="0"/>
        <w:spacing w:after="240"/>
        <w:rPr>
          <w:rStyle w:val="Kraftig"/>
          <w:b w:val="0"/>
          <w:lang w:val="en-US"/>
        </w:rPr>
      </w:pPr>
      <w:r>
        <w:rPr>
          <w:rStyle w:val="Kraftig"/>
          <w:b w:val="0"/>
          <w:lang w:val="en-US"/>
        </w:rPr>
        <w:t xml:space="preserve">The conference will entail fora for the regions in the world (e.g. </w:t>
      </w:r>
      <w:r w:rsidR="00A72648" w:rsidRPr="00B92F2C">
        <w:rPr>
          <w:rStyle w:val="Kraftig"/>
          <w:b w:val="0"/>
          <w:lang w:val="en-US"/>
        </w:rPr>
        <w:t>Europa).</w:t>
      </w:r>
    </w:p>
    <w:p w14:paraId="178D2D99" w14:textId="1C8C6D2B" w:rsidR="00A72648" w:rsidRDefault="008D380E" w:rsidP="00A72648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Style w:val="Kraftig"/>
          <w:b w:val="0"/>
          <w:lang w:val="en-US"/>
        </w:rPr>
        <w:lastRenderedPageBreak/>
        <w:t xml:space="preserve">It’s expected that the conference at the end will decide a declaration on </w:t>
      </w:r>
      <w:r w:rsidR="00A72648" w:rsidRPr="00B92F2C">
        <w:rPr>
          <w:rStyle w:val="Kraftig"/>
          <w:b w:val="0"/>
          <w:lang w:val="en-US"/>
        </w:rPr>
        <w:t>Sustainable Learning Cities.</w:t>
      </w:r>
      <w:r w:rsidR="00A72648" w:rsidRPr="00B92F2C">
        <w:rPr>
          <w:rFonts w:cs="Arial"/>
        </w:rPr>
        <w:t xml:space="preserve"> </w:t>
      </w:r>
    </w:p>
    <w:p w14:paraId="1E1B0E5E" w14:textId="7571036F" w:rsidR="00733F69" w:rsidRPr="00733F69" w:rsidRDefault="008D380E" w:rsidP="00A72648">
      <w:pPr>
        <w:widowControl w:val="0"/>
        <w:autoSpaceDE w:val="0"/>
        <w:autoSpaceDN w:val="0"/>
        <w:adjustRightInd w:val="0"/>
        <w:spacing w:after="240"/>
        <w:rPr>
          <w:rFonts w:cs="Arial"/>
          <w:b/>
        </w:rPr>
      </w:pPr>
      <w:r>
        <w:rPr>
          <w:rFonts w:cs="Arial"/>
          <w:b/>
        </w:rPr>
        <w:t>The conference in</w:t>
      </w:r>
      <w:r w:rsidR="00733F69" w:rsidRPr="00733F69">
        <w:rPr>
          <w:rFonts w:cs="Arial"/>
          <w:b/>
        </w:rPr>
        <w:t xml:space="preserve"> Beijing i</w:t>
      </w:r>
      <w:r>
        <w:rPr>
          <w:rFonts w:cs="Arial"/>
          <w:b/>
        </w:rPr>
        <w:t>n</w:t>
      </w:r>
      <w:r w:rsidR="00733F69" w:rsidRPr="00733F69">
        <w:rPr>
          <w:rFonts w:cs="Arial"/>
          <w:b/>
        </w:rPr>
        <w:t xml:space="preserve"> 2013</w:t>
      </w:r>
    </w:p>
    <w:p w14:paraId="0F02E014" w14:textId="24720643" w:rsidR="00A72648" w:rsidRPr="00B92F2C" w:rsidRDefault="0074638A" w:rsidP="00A72648">
      <w:pPr>
        <w:pStyle w:val="Normalweb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 document from the first ”Learning Cities” conference in Beijing in</w:t>
      </w:r>
      <w:r w:rsidR="00733F69">
        <w:rPr>
          <w:rFonts w:asciiTheme="minorHAnsi" w:hAnsiTheme="minorHAnsi" w:cs="Arial"/>
          <w:sz w:val="24"/>
          <w:szCs w:val="24"/>
        </w:rPr>
        <w:t xml:space="preserve">2013 </w:t>
      </w:r>
      <w:r>
        <w:rPr>
          <w:rFonts w:asciiTheme="minorHAnsi" w:hAnsiTheme="minorHAnsi" w:cs="Arial"/>
          <w:sz w:val="24"/>
          <w:szCs w:val="24"/>
        </w:rPr>
        <w:t>the following was stated</w:t>
      </w:r>
      <w:r w:rsidR="00733F69">
        <w:rPr>
          <w:rFonts w:asciiTheme="minorHAnsi" w:hAnsiTheme="minorHAnsi" w:cs="Arial"/>
          <w:sz w:val="24"/>
          <w:szCs w:val="24"/>
        </w:rPr>
        <w:t>:</w:t>
      </w:r>
    </w:p>
    <w:p w14:paraId="7C5B0E04" w14:textId="77777777" w:rsidR="00A72648" w:rsidRPr="00B92F2C" w:rsidRDefault="002039E7" w:rsidP="00733F69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that</w:t>
      </w:r>
      <w:r w:rsidR="00A72648" w:rsidRPr="00B92F2C">
        <w:rPr>
          <w:rFonts w:asciiTheme="minorHAnsi" w:hAnsiTheme="minorHAnsi" w:cs="Arial"/>
          <w:sz w:val="24"/>
          <w:szCs w:val="24"/>
        </w:rPr>
        <w:t xml:space="preserve"> “learning communities”, “learning cities” and “learning regions” are pillars of sustainable development”,</w:t>
      </w:r>
    </w:p>
    <w:p w14:paraId="4C35BCD8" w14:textId="77777777" w:rsidR="00A72648" w:rsidRPr="00B92F2C" w:rsidRDefault="00A72648" w:rsidP="00733F69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B92F2C">
        <w:rPr>
          <w:rFonts w:asciiTheme="minorHAnsi" w:hAnsiTheme="minorHAnsi" w:cs="Arial"/>
          <w:sz w:val="24"/>
          <w:szCs w:val="24"/>
        </w:rPr>
        <w:t xml:space="preserve">that cities should be both architects and executors of strategies that foster lifelong learning and sustainable development. </w:t>
      </w:r>
    </w:p>
    <w:p w14:paraId="449A7B04" w14:textId="77777777" w:rsidR="00B92F2C" w:rsidRPr="00FE1751" w:rsidRDefault="00B92F2C" w:rsidP="00733F69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FE1751">
        <w:rPr>
          <w:rFonts w:asciiTheme="minorHAnsi" w:hAnsiTheme="minorHAnsi" w:cs="Arial"/>
          <w:sz w:val="24"/>
          <w:szCs w:val="24"/>
        </w:rPr>
        <w:t xml:space="preserve">that a learning city will facilitate individual empowerment, build social cohesion, nurture active citizenship, promote economic and cultural prosperity, and lay the foundation for sustainable development. </w:t>
      </w:r>
    </w:p>
    <w:p w14:paraId="756E2C68" w14:textId="77777777" w:rsidR="00B92F2C" w:rsidRPr="00FE1751" w:rsidRDefault="00B92F2C" w:rsidP="00B92F2C">
      <w:pPr>
        <w:pStyle w:val="Normalweb"/>
        <w:rPr>
          <w:rFonts w:asciiTheme="minorHAnsi" w:hAnsiTheme="minorHAnsi" w:cs="Arial"/>
          <w:sz w:val="24"/>
          <w:szCs w:val="24"/>
        </w:rPr>
      </w:pPr>
      <w:r w:rsidRPr="00FE1751">
        <w:rPr>
          <w:rFonts w:asciiTheme="minorHAnsi" w:hAnsiTheme="minorHAnsi" w:cs="Arial"/>
          <w:sz w:val="24"/>
          <w:szCs w:val="24"/>
        </w:rPr>
        <w:t xml:space="preserve">To transform our cities, </w:t>
      </w:r>
      <w:r w:rsidR="00733F69">
        <w:rPr>
          <w:rFonts w:asciiTheme="minorHAnsi" w:hAnsiTheme="minorHAnsi" w:cs="Arial"/>
          <w:sz w:val="24"/>
          <w:szCs w:val="24"/>
        </w:rPr>
        <w:t>the following</w:t>
      </w:r>
      <w:r w:rsidRPr="00FE1751">
        <w:rPr>
          <w:rFonts w:asciiTheme="minorHAnsi" w:hAnsiTheme="minorHAnsi" w:cs="Arial"/>
          <w:sz w:val="24"/>
          <w:szCs w:val="24"/>
        </w:rPr>
        <w:t xml:space="preserve"> actions were recommended:</w:t>
      </w:r>
    </w:p>
    <w:p w14:paraId="1EAA7776" w14:textId="77777777" w:rsidR="00B92F2C" w:rsidRPr="00FE1751" w:rsidRDefault="00B92F2C" w:rsidP="00B92F2C">
      <w:pPr>
        <w:pStyle w:val="Normalweb"/>
        <w:rPr>
          <w:rFonts w:asciiTheme="minorHAnsi" w:hAnsiTheme="minorHAnsi"/>
          <w:sz w:val="24"/>
          <w:szCs w:val="24"/>
        </w:rPr>
      </w:pPr>
      <w:r w:rsidRPr="00FE1751">
        <w:rPr>
          <w:rFonts w:asciiTheme="minorHAnsi" w:hAnsiTheme="minorHAnsi" w:cs="Arial"/>
          <w:bCs/>
          <w:iCs/>
          <w:sz w:val="24"/>
          <w:szCs w:val="24"/>
        </w:rPr>
        <w:t xml:space="preserve">1. Empowering individuals and promoting social cohesion </w:t>
      </w:r>
    </w:p>
    <w:p w14:paraId="0CB5B014" w14:textId="77777777" w:rsidR="00B92F2C" w:rsidRPr="00FE1751" w:rsidRDefault="00B92F2C" w:rsidP="00B92F2C">
      <w:pPr>
        <w:pStyle w:val="Normalweb"/>
        <w:rPr>
          <w:rFonts w:asciiTheme="minorHAnsi" w:hAnsiTheme="minorHAnsi"/>
          <w:sz w:val="24"/>
          <w:szCs w:val="24"/>
        </w:rPr>
      </w:pPr>
      <w:r w:rsidRPr="00FE1751">
        <w:rPr>
          <w:rFonts w:asciiTheme="minorHAnsi" w:hAnsiTheme="minorHAnsi" w:cs="Arial"/>
          <w:sz w:val="24"/>
          <w:szCs w:val="24"/>
        </w:rPr>
        <w:t xml:space="preserve">2. </w:t>
      </w:r>
      <w:r w:rsidRPr="00FE1751">
        <w:rPr>
          <w:rFonts w:asciiTheme="minorHAnsi" w:hAnsiTheme="minorHAnsi" w:cs="Arial"/>
          <w:bCs/>
          <w:iCs/>
          <w:sz w:val="24"/>
          <w:szCs w:val="24"/>
        </w:rPr>
        <w:t xml:space="preserve">Enhancing economic development and cultural prosperity </w:t>
      </w:r>
    </w:p>
    <w:p w14:paraId="3130AA4F" w14:textId="77777777" w:rsidR="00B92F2C" w:rsidRPr="00FE1751" w:rsidRDefault="00B92F2C" w:rsidP="00B92F2C">
      <w:pPr>
        <w:pStyle w:val="Normalweb"/>
        <w:rPr>
          <w:rFonts w:asciiTheme="minorHAnsi" w:hAnsiTheme="minorHAnsi"/>
          <w:sz w:val="24"/>
          <w:szCs w:val="24"/>
        </w:rPr>
      </w:pPr>
      <w:r w:rsidRPr="00FE1751">
        <w:rPr>
          <w:rFonts w:asciiTheme="minorHAnsi" w:hAnsiTheme="minorHAnsi" w:cs="Arial"/>
          <w:bCs/>
          <w:iCs/>
          <w:sz w:val="24"/>
          <w:szCs w:val="24"/>
        </w:rPr>
        <w:t xml:space="preserve">3. Promoting sustainable development </w:t>
      </w:r>
    </w:p>
    <w:p w14:paraId="330277A2" w14:textId="77777777" w:rsidR="00B92F2C" w:rsidRPr="00FE1751" w:rsidRDefault="00B92F2C" w:rsidP="00B92F2C">
      <w:pPr>
        <w:pStyle w:val="Normalweb"/>
        <w:rPr>
          <w:rFonts w:asciiTheme="minorHAnsi" w:hAnsiTheme="minorHAnsi"/>
          <w:sz w:val="24"/>
          <w:szCs w:val="24"/>
        </w:rPr>
      </w:pPr>
      <w:r w:rsidRPr="00FE1751">
        <w:rPr>
          <w:rFonts w:asciiTheme="minorHAnsi" w:hAnsiTheme="minorHAnsi" w:cs="Arial"/>
          <w:bCs/>
          <w:iCs/>
          <w:sz w:val="24"/>
          <w:szCs w:val="24"/>
        </w:rPr>
        <w:t xml:space="preserve">4. Promoting inclusive learning in the education system </w:t>
      </w:r>
    </w:p>
    <w:p w14:paraId="00B46104" w14:textId="77777777" w:rsidR="00B92F2C" w:rsidRPr="00FE1751" w:rsidRDefault="00B92F2C" w:rsidP="00B92F2C">
      <w:pPr>
        <w:pStyle w:val="Normalweb"/>
        <w:rPr>
          <w:rFonts w:asciiTheme="minorHAnsi" w:hAnsiTheme="minorHAnsi"/>
          <w:sz w:val="24"/>
          <w:szCs w:val="24"/>
        </w:rPr>
      </w:pPr>
      <w:r w:rsidRPr="00FE1751">
        <w:rPr>
          <w:rFonts w:asciiTheme="minorHAnsi" w:hAnsiTheme="minorHAnsi" w:cs="Arial"/>
          <w:bCs/>
          <w:iCs/>
          <w:sz w:val="24"/>
          <w:szCs w:val="24"/>
        </w:rPr>
        <w:t xml:space="preserve">5. Revitalising learning in families and communities </w:t>
      </w:r>
    </w:p>
    <w:p w14:paraId="22FA7DCB" w14:textId="77777777" w:rsidR="00B92F2C" w:rsidRPr="00FE1751" w:rsidRDefault="00B92F2C" w:rsidP="00B92F2C">
      <w:pPr>
        <w:pStyle w:val="Normalweb"/>
        <w:rPr>
          <w:rFonts w:asciiTheme="minorHAnsi" w:hAnsiTheme="minorHAnsi"/>
          <w:sz w:val="24"/>
          <w:szCs w:val="24"/>
        </w:rPr>
      </w:pPr>
      <w:r w:rsidRPr="00FE1751">
        <w:rPr>
          <w:rFonts w:asciiTheme="minorHAnsi" w:hAnsiTheme="minorHAnsi" w:cs="Arial"/>
          <w:bCs/>
          <w:iCs/>
          <w:sz w:val="24"/>
          <w:szCs w:val="24"/>
        </w:rPr>
        <w:t xml:space="preserve">6. Facilitating learning for and in the workplace </w:t>
      </w:r>
    </w:p>
    <w:p w14:paraId="7EB89615" w14:textId="77777777" w:rsidR="00B92F2C" w:rsidRPr="00FE1751" w:rsidRDefault="00B92F2C" w:rsidP="00B92F2C">
      <w:pPr>
        <w:pStyle w:val="Normalweb"/>
        <w:rPr>
          <w:rFonts w:asciiTheme="minorHAnsi" w:hAnsiTheme="minorHAnsi"/>
          <w:sz w:val="24"/>
          <w:szCs w:val="24"/>
        </w:rPr>
      </w:pPr>
      <w:r w:rsidRPr="00FE1751">
        <w:rPr>
          <w:rFonts w:asciiTheme="minorHAnsi" w:hAnsiTheme="minorHAnsi" w:cs="Arial"/>
          <w:bCs/>
          <w:iCs/>
          <w:sz w:val="24"/>
          <w:szCs w:val="24"/>
        </w:rPr>
        <w:t xml:space="preserve">7. Extending the use of modern learning technologies </w:t>
      </w:r>
    </w:p>
    <w:p w14:paraId="0A6297F5" w14:textId="77777777" w:rsidR="00B92F2C" w:rsidRPr="00FE1751" w:rsidRDefault="00B92F2C" w:rsidP="00B92F2C">
      <w:pPr>
        <w:pStyle w:val="Normalweb"/>
        <w:rPr>
          <w:rFonts w:asciiTheme="minorHAnsi" w:hAnsiTheme="minorHAnsi"/>
          <w:sz w:val="24"/>
          <w:szCs w:val="24"/>
        </w:rPr>
      </w:pPr>
      <w:r w:rsidRPr="00FE1751">
        <w:rPr>
          <w:rFonts w:asciiTheme="minorHAnsi" w:hAnsiTheme="minorHAnsi" w:cs="Arial"/>
          <w:bCs/>
          <w:iCs/>
          <w:sz w:val="24"/>
          <w:szCs w:val="24"/>
        </w:rPr>
        <w:t xml:space="preserve">8. Enhancing quality in learning </w:t>
      </w:r>
    </w:p>
    <w:p w14:paraId="036C58AA" w14:textId="77777777" w:rsidR="00B92F2C" w:rsidRPr="00FE1751" w:rsidRDefault="00B92F2C" w:rsidP="00B92F2C">
      <w:pPr>
        <w:pStyle w:val="Normalweb"/>
        <w:rPr>
          <w:rFonts w:asciiTheme="minorHAnsi" w:hAnsiTheme="minorHAnsi" w:cs="Arial"/>
          <w:bCs/>
          <w:iCs/>
          <w:sz w:val="24"/>
          <w:szCs w:val="24"/>
        </w:rPr>
      </w:pPr>
      <w:r w:rsidRPr="00FE1751">
        <w:rPr>
          <w:rFonts w:asciiTheme="minorHAnsi" w:hAnsiTheme="minorHAnsi" w:cs="Arial"/>
          <w:bCs/>
          <w:iCs/>
          <w:sz w:val="24"/>
          <w:szCs w:val="24"/>
        </w:rPr>
        <w:t xml:space="preserve">9. Fostering a culture of learning throughout life </w:t>
      </w:r>
    </w:p>
    <w:p w14:paraId="6E92303F" w14:textId="77777777" w:rsidR="00B92F2C" w:rsidRPr="00FE1751" w:rsidRDefault="00B92F2C" w:rsidP="00B92F2C">
      <w:pPr>
        <w:pStyle w:val="Normalweb"/>
        <w:rPr>
          <w:rFonts w:asciiTheme="minorHAnsi" w:hAnsiTheme="minorHAnsi" w:cs="Arial"/>
          <w:bCs/>
          <w:iCs/>
          <w:sz w:val="24"/>
          <w:szCs w:val="24"/>
        </w:rPr>
      </w:pPr>
      <w:r w:rsidRPr="00FE1751">
        <w:rPr>
          <w:rFonts w:asciiTheme="minorHAnsi" w:hAnsiTheme="minorHAnsi" w:cs="Arial"/>
          <w:bCs/>
          <w:iCs/>
          <w:sz w:val="24"/>
          <w:szCs w:val="24"/>
        </w:rPr>
        <w:t xml:space="preserve">10. Strengthening political will and commitment </w:t>
      </w:r>
    </w:p>
    <w:p w14:paraId="7951CD74" w14:textId="77777777" w:rsidR="00B92F2C" w:rsidRPr="00FE1751" w:rsidRDefault="00B92F2C" w:rsidP="00B92F2C">
      <w:pPr>
        <w:pStyle w:val="Normalweb"/>
        <w:rPr>
          <w:rFonts w:asciiTheme="minorHAnsi" w:hAnsiTheme="minorHAnsi" w:cs="Arial"/>
          <w:bCs/>
          <w:iCs/>
          <w:sz w:val="24"/>
          <w:szCs w:val="24"/>
        </w:rPr>
      </w:pPr>
      <w:r w:rsidRPr="00FE1751">
        <w:rPr>
          <w:rFonts w:asciiTheme="minorHAnsi" w:hAnsiTheme="minorHAnsi" w:cs="Arial"/>
          <w:bCs/>
          <w:iCs/>
          <w:sz w:val="24"/>
          <w:szCs w:val="24"/>
        </w:rPr>
        <w:t>11. Improving governance and participation of all stakeholders</w:t>
      </w:r>
    </w:p>
    <w:p w14:paraId="5243E2FC" w14:textId="77777777" w:rsidR="007D4D4F" w:rsidRPr="00FE1751" w:rsidRDefault="00B92F2C" w:rsidP="007D4D4F">
      <w:pPr>
        <w:pStyle w:val="Normalweb"/>
        <w:rPr>
          <w:rFonts w:asciiTheme="minorHAnsi" w:hAnsiTheme="minorHAnsi" w:cs="Arial"/>
          <w:b/>
          <w:bCs/>
          <w:i/>
          <w:iCs/>
          <w:sz w:val="24"/>
          <w:szCs w:val="24"/>
        </w:rPr>
      </w:pPr>
      <w:r w:rsidRPr="00FE1751">
        <w:rPr>
          <w:rFonts w:asciiTheme="minorHAnsi" w:hAnsiTheme="minorHAnsi" w:cs="Arial"/>
          <w:bCs/>
          <w:iCs/>
          <w:sz w:val="24"/>
          <w:szCs w:val="24"/>
        </w:rPr>
        <w:t>12. Boosting resource mobilisation and utilisation</w:t>
      </w:r>
      <w:r w:rsidRPr="00FE1751">
        <w:rPr>
          <w:rFonts w:asciiTheme="minorHAnsi" w:hAnsiTheme="minorHAnsi" w:cs="Arial"/>
          <w:b/>
          <w:bCs/>
          <w:i/>
          <w:iCs/>
          <w:sz w:val="24"/>
          <w:szCs w:val="24"/>
        </w:rPr>
        <w:t xml:space="preserve"> </w:t>
      </w:r>
    </w:p>
    <w:p w14:paraId="1167C387" w14:textId="47941E4F" w:rsidR="007D4D4F" w:rsidRPr="00FE1751" w:rsidRDefault="00FE1751" w:rsidP="007D4D4F">
      <w:pPr>
        <w:pStyle w:val="Normalweb"/>
        <w:rPr>
          <w:rFonts w:asciiTheme="minorHAnsi" w:hAnsiTheme="minorHAnsi" w:cs="Arial"/>
          <w:sz w:val="24"/>
          <w:szCs w:val="24"/>
        </w:rPr>
      </w:pPr>
      <w:r w:rsidRPr="00FE1751">
        <w:rPr>
          <w:rFonts w:asciiTheme="minorHAnsi" w:hAnsiTheme="minorHAnsi" w:cs="Arial"/>
          <w:bCs/>
          <w:iCs/>
          <w:sz w:val="24"/>
          <w:szCs w:val="24"/>
        </w:rPr>
        <w:t>The call to a</w:t>
      </w:r>
      <w:r w:rsidR="00B92F2C" w:rsidRPr="00FE1751">
        <w:rPr>
          <w:rFonts w:asciiTheme="minorHAnsi" w:hAnsiTheme="minorHAnsi" w:cs="Arial"/>
          <w:bCs/>
          <w:iCs/>
          <w:sz w:val="24"/>
          <w:szCs w:val="24"/>
        </w:rPr>
        <w:t>ction from the first ”Learning Cities” conference i Beijing</w:t>
      </w:r>
      <w:r w:rsidR="007D4D4F" w:rsidRPr="00FE1751">
        <w:rPr>
          <w:rFonts w:asciiTheme="minorHAnsi" w:hAnsiTheme="minorHAnsi" w:cs="Arial"/>
          <w:bCs/>
          <w:iCs/>
          <w:sz w:val="24"/>
          <w:szCs w:val="24"/>
        </w:rPr>
        <w:t xml:space="preserve"> was to establish a network of </w:t>
      </w:r>
      <w:r w:rsidR="00B92F2C" w:rsidRPr="00FE1751">
        <w:rPr>
          <w:rFonts w:asciiTheme="minorHAnsi" w:hAnsiTheme="minorHAnsi" w:cs="Arial"/>
          <w:bCs/>
          <w:iCs/>
          <w:sz w:val="24"/>
          <w:szCs w:val="24"/>
        </w:rPr>
        <w:t>Learning Cities</w:t>
      </w:r>
      <w:r w:rsidR="00D31CC3">
        <w:rPr>
          <w:rFonts w:asciiTheme="minorHAnsi" w:hAnsiTheme="minorHAnsi" w:cs="Arial"/>
          <w:bCs/>
          <w:iCs/>
          <w:sz w:val="24"/>
          <w:szCs w:val="24"/>
        </w:rPr>
        <w:t xml:space="preserve"> and Regions </w:t>
      </w:r>
      <w:bookmarkStart w:id="0" w:name="_GoBack"/>
      <w:bookmarkEnd w:id="0"/>
      <w:r w:rsidR="007D4D4F" w:rsidRPr="00FE1751">
        <w:rPr>
          <w:rFonts w:asciiTheme="minorHAnsi" w:hAnsiTheme="minorHAnsi" w:cs="Arial"/>
          <w:sz w:val="24"/>
          <w:szCs w:val="24"/>
        </w:rPr>
        <w:t xml:space="preserve">to support and accelerate the practice of lifelong learning in the world’s communities. </w:t>
      </w:r>
    </w:p>
    <w:p w14:paraId="54C4CDAF" w14:textId="7EF5AD04" w:rsidR="00FE1751" w:rsidRPr="00FE1751" w:rsidRDefault="0074638A" w:rsidP="007D4D4F">
      <w:pPr>
        <w:pStyle w:val="Normalweb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>At the first ”Learning Cities” c</w:t>
      </w:r>
      <w:r w:rsidR="00FE1751" w:rsidRPr="00FE1751">
        <w:rPr>
          <w:rFonts w:asciiTheme="minorHAnsi" w:hAnsiTheme="minorHAnsi" w:cs="Arial"/>
          <w:bCs/>
          <w:iCs/>
          <w:sz w:val="24"/>
          <w:szCs w:val="24"/>
        </w:rPr>
        <w:t>onference i</w:t>
      </w:r>
      <w:r>
        <w:rPr>
          <w:rFonts w:asciiTheme="minorHAnsi" w:hAnsiTheme="minorHAnsi" w:cs="Arial"/>
          <w:bCs/>
          <w:iCs/>
          <w:sz w:val="24"/>
          <w:szCs w:val="24"/>
        </w:rPr>
        <w:t>n</w:t>
      </w:r>
      <w:r w:rsidR="00FE1751" w:rsidRPr="00FE1751">
        <w:rPr>
          <w:rFonts w:asciiTheme="minorHAnsi" w:hAnsiTheme="minorHAnsi" w:cs="Arial"/>
          <w:bCs/>
          <w:iCs/>
          <w:sz w:val="24"/>
          <w:szCs w:val="24"/>
        </w:rPr>
        <w:t xml:space="preserve"> Beijing i</w:t>
      </w:r>
      <w:r>
        <w:rPr>
          <w:rFonts w:asciiTheme="minorHAnsi" w:hAnsiTheme="minorHAnsi" w:cs="Arial"/>
          <w:bCs/>
          <w:iCs/>
          <w:sz w:val="24"/>
          <w:szCs w:val="24"/>
        </w:rPr>
        <w:t>n</w:t>
      </w:r>
      <w:r w:rsidR="00FE1751" w:rsidRPr="00FE1751">
        <w:rPr>
          <w:rFonts w:asciiTheme="minorHAnsi" w:hAnsiTheme="minorHAnsi" w:cs="Arial"/>
          <w:bCs/>
          <w:iCs/>
          <w:sz w:val="24"/>
          <w:szCs w:val="24"/>
        </w:rPr>
        <w:t xml:space="preserve"> 2013 </w:t>
      </w:r>
      <w:r>
        <w:rPr>
          <w:rFonts w:asciiTheme="minorHAnsi" w:hAnsiTheme="minorHAnsi" w:cs="Arial"/>
          <w:bCs/>
          <w:iCs/>
          <w:sz w:val="24"/>
          <w:szCs w:val="24"/>
        </w:rPr>
        <w:t>a document on</w:t>
      </w:r>
      <w:r w:rsidR="00FE1751" w:rsidRPr="00FE1751">
        <w:rPr>
          <w:rFonts w:asciiTheme="minorHAnsi" w:hAnsiTheme="minorHAnsi" w:cs="Arial"/>
          <w:bCs/>
          <w:iCs/>
          <w:sz w:val="24"/>
          <w:szCs w:val="24"/>
        </w:rPr>
        <w:t xml:space="preserve"> Key Features on Learning Cities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 was adopted</w:t>
      </w:r>
      <w:r w:rsidR="00FE1751" w:rsidRPr="00FE1751">
        <w:rPr>
          <w:rFonts w:asciiTheme="minorHAnsi" w:hAnsiTheme="minorHAnsi" w:cs="Arial"/>
          <w:bCs/>
          <w:iCs/>
          <w:sz w:val="24"/>
          <w:szCs w:val="24"/>
        </w:rPr>
        <w:t xml:space="preserve">. 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A survey on how to frame </w:t>
      </w:r>
      <w:r w:rsidR="00FE1751" w:rsidRPr="00FE1751">
        <w:rPr>
          <w:rFonts w:asciiTheme="minorHAnsi" w:hAnsiTheme="minorHAnsi" w:cs="Arial"/>
          <w:bCs/>
          <w:iCs/>
          <w:sz w:val="24"/>
          <w:szCs w:val="24"/>
        </w:rPr>
        <w:t xml:space="preserve">”Learning Cities”, 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including a number of indicators, says: </w:t>
      </w:r>
    </w:p>
    <w:p w14:paraId="1D13A2E5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>The framework of the Key Features of Learning Cities, inspired by the UNESCO logo, corresponds to the pediments, columns and foundation steps of the emblem.</w:t>
      </w:r>
    </w:p>
    <w:p w14:paraId="155CE963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bCs/>
          <w:i/>
          <w:iCs/>
          <w:color w:val="0E0E0E"/>
          <w:lang w:val="en-US"/>
        </w:rPr>
        <w:t>The pediment</w:t>
      </w:r>
      <w:r w:rsidRPr="00FE1751">
        <w:rPr>
          <w:rFonts w:cs="Arial"/>
          <w:color w:val="0E0E0E"/>
          <w:lang w:val="en-US"/>
        </w:rPr>
        <w:t xml:space="preserve"> – three areas of focus reflecting the benefits of building a learning city:  </w:t>
      </w:r>
    </w:p>
    <w:p w14:paraId="2872254D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 xml:space="preserve">(1) individual empowerment and social cohesion; </w:t>
      </w:r>
    </w:p>
    <w:p w14:paraId="3E0DC680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 xml:space="preserve">(2) economic development and cultural prosperity; and </w:t>
      </w:r>
    </w:p>
    <w:p w14:paraId="3184F9F0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>(3) sustainable development.</w:t>
      </w:r>
    </w:p>
    <w:p w14:paraId="55753312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</w:p>
    <w:p w14:paraId="0C350CF0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bCs/>
          <w:i/>
          <w:iCs/>
          <w:color w:val="0E0E0E"/>
          <w:lang w:val="en-US"/>
        </w:rPr>
        <w:t>The columns</w:t>
      </w:r>
      <w:r w:rsidRPr="00FE1751">
        <w:rPr>
          <w:rFonts w:cs="Arial"/>
          <w:color w:val="0E0E0E"/>
          <w:lang w:val="en-US"/>
        </w:rPr>
        <w:t xml:space="preserve"> – six areas of focus reflecting the major building blocks of a learning city: </w:t>
      </w:r>
    </w:p>
    <w:p w14:paraId="6A3E0D08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 xml:space="preserve">(1) inclusive learning in the education system; </w:t>
      </w:r>
    </w:p>
    <w:p w14:paraId="6986CE6F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 xml:space="preserve">(2) re-vitalised learning in families and communities; </w:t>
      </w:r>
    </w:p>
    <w:p w14:paraId="73AA730E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 xml:space="preserve">(3) effective learning for and in the workplace; </w:t>
      </w:r>
    </w:p>
    <w:p w14:paraId="6D0CCE27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 xml:space="preserve">(4) extended use of modern learning technologies; </w:t>
      </w:r>
    </w:p>
    <w:p w14:paraId="1F4DA7EE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 xml:space="preserve">(5) enhanced quality in learning; and </w:t>
      </w:r>
    </w:p>
    <w:p w14:paraId="01300F62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>(6) a vibrant culture of learning throughout life.</w:t>
      </w:r>
    </w:p>
    <w:p w14:paraId="2BCAE5BD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</w:p>
    <w:p w14:paraId="21DC53E9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bCs/>
          <w:i/>
          <w:iCs/>
          <w:color w:val="0E0E0E"/>
          <w:lang w:val="en-US"/>
        </w:rPr>
        <w:t>The foundational steps</w:t>
      </w:r>
      <w:r w:rsidRPr="00FE1751">
        <w:rPr>
          <w:rFonts w:cs="Arial"/>
          <w:color w:val="0E0E0E"/>
          <w:lang w:val="en-US"/>
        </w:rPr>
        <w:t xml:space="preserve"> - three areas of focus reflecting the fundamental conditions for building a learning city: </w:t>
      </w:r>
    </w:p>
    <w:p w14:paraId="1C8BE53B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 xml:space="preserve">(1) strong political will and commitment; </w:t>
      </w:r>
    </w:p>
    <w:p w14:paraId="3DE5C085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 xml:space="preserve">(2) governance and participation of all stakeholders; and </w:t>
      </w:r>
    </w:p>
    <w:p w14:paraId="3217735D" w14:textId="77777777" w:rsidR="00FE1751" w:rsidRPr="00FE1751" w:rsidRDefault="00FE1751" w:rsidP="00FE1751">
      <w:pPr>
        <w:widowControl w:val="0"/>
        <w:autoSpaceDE w:val="0"/>
        <w:autoSpaceDN w:val="0"/>
        <w:adjustRightInd w:val="0"/>
        <w:rPr>
          <w:rFonts w:cs="Arial"/>
          <w:color w:val="0E0E0E"/>
          <w:lang w:val="en-US"/>
        </w:rPr>
      </w:pPr>
      <w:r w:rsidRPr="00FE1751">
        <w:rPr>
          <w:rFonts w:cs="Arial"/>
          <w:color w:val="0E0E0E"/>
          <w:lang w:val="en-US"/>
        </w:rPr>
        <w:t>(3) mobilisation and utilisation of resources. </w:t>
      </w:r>
    </w:p>
    <w:p w14:paraId="48B18C0E" w14:textId="71157C0C" w:rsidR="00FE1751" w:rsidRDefault="0074638A" w:rsidP="00FE1751">
      <w:pPr>
        <w:pStyle w:val="Normalweb"/>
        <w:rPr>
          <w:rFonts w:asciiTheme="minorHAnsi" w:hAnsiTheme="minorHAnsi" w:cs="Arial"/>
          <w:color w:val="0E0E0E"/>
          <w:sz w:val="24"/>
          <w:szCs w:val="24"/>
          <w:lang w:val="en-US"/>
        </w:rPr>
      </w:pPr>
      <w:r>
        <w:rPr>
          <w:rFonts w:asciiTheme="minorHAnsi" w:hAnsiTheme="minorHAnsi" w:cs="Arial"/>
          <w:color w:val="0E0E0E"/>
          <w:sz w:val="24"/>
          <w:szCs w:val="24"/>
          <w:lang w:val="en-US"/>
        </w:rPr>
        <w:t>At the second</w:t>
      </w:r>
      <w:r w:rsidR="00FE1751">
        <w:rPr>
          <w:rFonts w:asciiTheme="minorHAnsi" w:hAnsiTheme="minorHAnsi" w:cs="Arial"/>
          <w:color w:val="0E0E0E"/>
          <w:sz w:val="24"/>
          <w:szCs w:val="24"/>
          <w:lang w:val="en-US"/>
        </w:rPr>
        <w:t xml:space="preserve"> “Learning Cities” </w:t>
      </w:r>
      <w:r>
        <w:rPr>
          <w:rFonts w:asciiTheme="minorHAnsi" w:hAnsiTheme="minorHAnsi" w:cs="Arial"/>
          <w:color w:val="0E0E0E"/>
          <w:sz w:val="24"/>
          <w:szCs w:val="24"/>
          <w:lang w:val="en-US"/>
        </w:rPr>
        <w:t>c</w:t>
      </w:r>
      <w:r w:rsidR="00FE1751">
        <w:rPr>
          <w:rFonts w:asciiTheme="minorHAnsi" w:hAnsiTheme="minorHAnsi" w:cs="Arial"/>
          <w:color w:val="0E0E0E"/>
          <w:sz w:val="24"/>
          <w:szCs w:val="24"/>
          <w:lang w:val="en-US"/>
        </w:rPr>
        <w:t xml:space="preserve">onference </w:t>
      </w:r>
      <w:r>
        <w:rPr>
          <w:rFonts w:asciiTheme="minorHAnsi" w:hAnsiTheme="minorHAnsi" w:cs="Arial"/>
          <w:color w:val="0E0E0E"/>
          <w:sz w:val="24"/>
          <w:szCs w:val="24"/>
          <w:lang w:val="en-US"/>
        </w:rPr>
        <w:t>in</w:t>
      </w:r>
      <w:r w:rsidR="00FE1751">
        <w:rPr>
          <w:rFonts w:asciiTheme="minorHAnsi" w:hAnsiTheme="minorHAnsi" w:cs="Arial"/>
          <w:color w:val="0E0E0E"/>
          <w:sz w:val="24"/>
          <w:szCs w:val="24"/>
          <w:lang w:val="en-US"/>
        </w:rPr>
        <w:t xml:space="preserve"> Mexico City </w:t>
      </w:r>
      <w:r w:rsidR="00926AC8">
        <w:rPr>
          <w:rFonts w:asciiTheme="minorHAnsi" w:hAnsiTheme="minorHAnsi" w:cs="Arial"/>
          <w:color w:val="0E0E0E"/>
          <w:sz w:val="24"/>
          <w:szCs w:val="24"/>
          <w:lang w:val="en-US"/>
        </w:rPr>
        <w:t xml:space="preserve">the work during the last two years will be discussed and evaluated. It’s expected that the conference at the end will adapt a declaration on </w:t>
      </w:r>
      <w:r w:rsidR="00733F69">
        <w:rPr>
          <w:rFonts w:asciiTheme="minorHAnsi" w:hAnsiTheme="minorHAnsi" w:cs="Arial"/>
          <w:color w:val="0E0E0E"/>
          <w:sz w:val="24"/>
          <w:szCs w:val="24"/>
          <w:lang w:val="en-US"/>
        </w:rPr>
        <w:t>“Sustainable learning cities”.</w:t>
      </w:r>
    </w:p>
    <w:p w14:paraId="5E56C3AF" w14:textId="77777777" w:rsidR="00733F69" w:rsidRDefault="00733F69" w:rsidP="00FE1751">
      <w:pPr>
        <w:pStyle w:val="Normalweb"/>
        <w:rPr>
          <w:rFonts w:asciiTheme="minorHAnsi" w:hAnsiTheme="minorHAnsi" w:cs="Arial"/>
          <w:color w:val="0E0E0E"/>
          <w:sz w:val="24"/>
          <w:szCs w:val="24"/>
          <w:lang w:val="en-US"/>
        </w:rPr>
      </w:pPr>
    </w:p>
    <w:p w14:paraId="419DFF2B" w14:textId="77777777" w:rsidR="00733F69" w:rsidRPr="00FE1751" w:rsidRDefault="00733F69" w:rsidP="00FE1751">
      <w:pPr>
        <w:pStyle w:val="Normalweb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color w:val="0E0E0E"/>
          <w:sz w:val="24"/>
          <w:szCs w:val="24"/>
          <w:lang w:val="en-US"/>
        </w:rPr>
        <w:t>/ njohan</w:t>
      </w:r>
    </w:p>
    <w:p w14:paraId="6552F25B" w14:textId="77777777" w:rsidR="00B92F2C" w:rsidRPr="00FE1751" w:rsidRDefault="00B92F2C" w:rsidP="00B92F2C">
      <w:pPr>
        <w:pStyle w:val="Normalweb"/>
        <w:rPr>
          <w:rFonts w:asciiTheme="minorHAnsi" w:hAnsiTheme="minorHAnsi" w:cs="Arial"/>
          <w:bCs/>
          <w:iCs/>
          <w:sz w:val="24"/>
          <w:szCs w:val="24"/>
        </w:rPr>
      </w:pPr>
    </w:p>
    <w:p w14:paraId="3A286FD1" w14:textId="77777777" w:rsidR="00B92F2C" w:rsidRPr="00FE1751" w:rsidRDefault="00B92F2C" w:rsidP="00B92F2C">
      <w:pPr>
        <w:pStyle w:val="Normalweb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3C5667D6" w14:textId="77777777" w:rsidR="00B92F2C" w:rsidRPr="00FE1751" w:rsidRDefault="00B92F2C" w:rsidP="00B92F2C">
      <w:pPr>
        <w:pStyle w:val="Normalweb"/>
        <w:rPr>
          <w:rFonts w:asciiTheme="minorHAnsi" w:hAnsiTheme="minorHAnsi"/>
          <w:sz w:val="24"/>
          <w:szCs w:val="24"/>
        </w:rPr>
      </w:pPr>
    </w:p>
    <w:p w14:paraId="59DA5E73" w14:textId="77777777" w:rsidR="00B92F2C" w:rsidRPr="00FE1751" w:rsidRDefault="00B92F2C" w:rsidP="00B92F2C">
      <w:pPr>
        <w:pStyle w:val="Normalweb"/>
        <w:rPr>
          <w:rFonts w:asciiTheme="minorHAnsi" w:hAnsiTheme="minorHAnsi"/>
          <w:sz w:val="24"/>
          <w:szCs w:val="24"/>
        </w:rPr>
      </w:pPr>
    </w:p>
    <w:p w14:paraId="29663639" w14:textId="77777777" w:rsidR="00B92F2C" w:rsidRPr="00FE1751" w:rsidRDefault="00B92F2C" w:rsidP="00A72648">
      <w:pPr>
        <w:pStyle w:val="Normalweb"/>
        <w:rPr>
          <w:rFonts w:asciiTheme="minorHAnsi" w:hAnsiTheme="minorHAnsi"/>
          <w:sz w:val="24"/>
          <w:szCs w:val="24"/>
        </w:rPr>
      </w:pPr>
    </w:p>
    <w:p w14:paraId="513AF762" w14:textId="77777777" w:rsidR="00A72648" w:rsidRPr="00FE1751" w:rsidRDefault="00A72648" w:rsidP="00A72648">
      <w:pPr>
        <w:pStyle w:val="Normalweb"/>
        <w:rPr>
          <w:rFonts w:asciiTheme="minorHAnsi" w:hAnsiTheme="minorHAnsi"/>
          <w:sz w:val="24"/>
          <w:szCs w:val="24"/>
        </w:rPr>
      </w:pPr>
    </w:p>
    <w:p w14:paraId="5E3139CD" w14:textId="77777777" w:rsidR="00A72648" w:rsidRPr="00FE1751" w:rsidRDefault="00A72648" w:rsidP="00A72648">
      <w:pPr>
        <w:widowControl w:val="0"/>
        <w:autoSpaceDE w:val="0"/>
        <w:autoSpaceDN w:val="0"/>
        <w:adjustRightInd w:val="0"/>
        <w:spacing w:after="240"/>
        <w:ind w:left="1304" w:hanging="1304"/>
      </w:pPr>
    </w:p>
    <w:p w14:paraId="21834717" w14:textId="77777777" w:rsidR="00A72648" w:rsidRPr="00FE1751" w:rsidRDefault="00A72648" w:rsidP="00A72648">
      <w:pPr>
        <w:widowControl w:val="0"/>
        <w:autoSpaceDE w:val="0"/>
        <w:autoSpaceDN w:val="0"/>
        <w:adjustRightInd w:val="0"/>
        <w:spacing w:after="240"/>
        <w:rPr>
          <w:rStyle w:val="DFS-brev"/>
        </w:rPr>
      </w:pPr>
    </w:p>
    <w:p w14:paraId="444AFA1F" w14:textId="77777777" w:rsidR="00A72648" w:rsidRPr="00FE1751" w:rsidRDefault="00A72648" w:rsidP="00A72648"/>
    <w:p w14:paraId="0B6A5D05" w14:textId="77777777" w:rsidR="00A72648" w:rsidRPr="00FE1751" w:rsidRDefault="00A72648" w:rsidP="00A72648"/>
    <w:p w14:paraId="0A7F2F8F" w14:textId="77777777" w:rsidR="00A72648" w:rsidRPr="00FE1751" w:rsidRDefault="00A72648" w:rsidP="00A72648"/>
    <w:p w14:paraId="4C5030E7" w14:textId="77777777" w:rsidR="00A72648" w:rsidRPr="00FE1751" w:rsidRDefault="00A72648" w:rsidP="00A72648"/>
    <w:p w14:paraId="3B70F159" w14:textId="77777777" w:rsidR="00BE6A40" w:rsidRPr="00FE1751" w:rsidRDefault="00BE6A40"/>
    <w:sectPr w:rsidR="00BE6A40" w:rsidRPr="00FE1751" w:rsidSect="00103BA2">
      <w:footerReference w:type="even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D018C" w14:textId="77777777" w:rsidR="007434ED" w:rsidRDefault="007434ED" w:rsidP="00C13482">
      <w:r>
        <w:separator/>
      </w:r>
    </w:p>
  </w:endnote>
  <w:endnote w:type="continuationSeparator" w:id="0">
    <w:p w14:paraId="530C3F07" w14:textId="77777777" w:rsidR="007434ED" w:rsidRDefault="007434ED" w:rsidP="00C1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7263" w14:textId="77777777" w:rsidR="007434ED" w:rsidRDefault="007434ED" w:rsidP="007434E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EACCBD4" w14:textId="77777777" w:rsidR="007434ED" w:rsidRDefault="007434ED" w:rsidP="00C13482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B6A54" w14:textId="77777777" w:rsidR="007434ED" w:rsidRDefault="007434ED" w:rsidP="007434E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31CC3">
      <w:rPr>
        <w:rStyle w:val="Sidetal"/>
        <w:noProof/>
      </w:rPr>
      <w:t>1</w:t>
    </w:r>
    <w:r>
      <w:rPr>
        <w:rStyle w:val="Sidetal"/>
      </w:rPr>
      <w:fldChar w:fldCharType="end"/>
    </w:r>
  </w:p>
  <w:p w14:paraId="39E222BC" w14:textId="77777777" w:rsidR="007434ED" w:rsidRDefault="007434ED" w:rsidP="00C1348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D19C4" w14:textId="77777777" w:rsidR="007434ED" w:rsidRDefault="007434ED" w:rsidP="00C13482">
      <w:r>
        <w:separator/>
      </w:r>
    </w:p>
  </w:footnote>
  <w:footnote w:type="continuationSeparator" w:id="0">
    <w:p w14:paraId="75172D26" w14:textId="77777777" w:rsidR="007434ED" w:rsidRDefault="007434ED" w:rsidP="00C1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1EC"/>
    <w:multiLevelType w:val="multilevel"/>
    <w:tmpl w:val="BCF0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4797B"/>
    <w:multiLevelType w:val="multilevel"/>
    <w:tmpl w:val="6FBA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26783"/>
    <w:multiLevelType w:val="hybridMultilevel"/>
    <w:tmpl w:val="ACB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16198"/>
    <w:multiLevelType w:val="multilevel"/>
    <w:tmpl w:val="8478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30901"/>
    <w:multiLevelType w:val="hybridMultilevel"/>
    <w:tmpl w:val="3970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30F04"/>
    <w:multiLevelType w:val="multilevel"/>
    <w:tmpl w:val="61E0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8"/>
    <w:rsid w:val="00056335"/>
    <w:rsid w:val="00103BA2"/>
    <w:rsid w:val="002039E7"/>
    <w:rsid w:val="00210BCB"/>
    <w:rsid w:val="004E7E68"/>
    <w:rsid w:val="0058439D"/>
    <w:rsid w:val="00733F69"/>
    <w:rsid w:val="007434ED"/>
    <w:rsid w:val="0074638A"/>
    <w:rsid w:val="007D4D4F"/>
    <w:rsid w:val="008D380E"/>
    <w:rsid w:val="00926AC8"/>
    <w:rsid w:val="00A72648"/>
    <w:rsid w:val="00B92F2C"/>
    <w:rsid w:val="00BE6A40"/>
    <w:rsid w:val="00C13482"/>
    <w:rsid w:val="00D31CC3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87B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48"/>
  </w:style>
  <w:style w:type="paragraph" w:styleId="Overskrift1">
    <w:name w:val="heading 1"/>
    <w:basedOn w:val="Normal"/>
    <w:next w:val="Normal"/>
    <w:link w:val="Overskrift1Tegn"/>
    <w:uiPriority w:val="9"/>
    <w:qFormat/>
    <w:rsid w:val="00A726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726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Llink">
    <w:name w:val="Hyperlink"/>
    <w:basedOn w:val="Standardskrifttypeiafsnit"/>
    <w:uiPriority w:val="99"/>
    <w:unhideWhenUsed/>
    <w:rsid w:val="00A72648"/>
    <w:rPr>
      <w:color w:val="0000FF" w:themeColor="hyperlink"/>
      <w:u w:val="single"/>
    </w:rPr>
  </w:style>
  <w:style w:type="character" w:customStyle="1" w:styleId="DFS-brev">
    <w:name w:val="DFS-brev"/>
    <w:basedOn w:val="Standardskrifttypeiafsnit"/>
    <w:uiPriority w:val="1"/>
    <w:qFormat/>
    <w:rsid w:val="00A72648"/>
  </w:style>
  <w:style w:type="character" w:styleId="Kraftig">
    <w:name w:val="Strong"/>
    <w:basedOn w:val="Standardskrifttypeiafsnit"/>
    <w:uiPriority w:val="22"/>
    <w:qFormat/>
    <w:rsid w:val="00A72648"/>
    <w:rPr>
      <w:b/>
      <w:bCs/>
    </w:rPr>
  </w:style>
  <w:style w:type="paragraph" w:styleId="Normalweb">
    <w:name w:val="Normal (Web)"/>
    <w:basedOn w:val="Normal"/>
    <w:uiPriority w:val="99"/>
    <w:unhideWhenUsed/>
    <w:rsid w:val="00A726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2039E7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C134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3482"/>
  </w:style>
  <w:style w:type="character" w:styleId="Sidetal">
    <w:name w:val="page number"/>
    <w:basedOn w:val="Standardskrifttypeiafsnit"/>
    <w:uiPriority w:val="99"/>
    <w:semiHidden/>
    <w:unhideWhenUsed/>
    <w:rsid w:val="00C134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48"/>
  </w:style>
  <w:style w:type="paragraph" w:styleId="Overskrift1">
    <w:name w:val="heading 1"/>
    <w:basedOn w:val="Normal"/>
    <w:next w:val="Normal"/>
    <w:link w:val="Overskrift1Tegn"/>
    <w:uiPriority w:val="9"/>
    <w:qFormat/>
    <w:rsid w:val="00A726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726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Llink">
    <w:name w:val="Hyperlink"/>
    <w:basedOn w:val="Standardskrifttypeiafsnit"/>
    <w:uiPriority w:val="99"/>
    <w:unhideWhenUsed/>
    <w:rsid w:val="00A72648"/>
    <w:rPr>
      <w:color w:val="0000FF" w:themeColor="hyperlink"/>
      <w:u w:val="single"/>
    </w:rPr>
  </w:style>
  <w:style w:type="character" w:customStyle="1" w:styleId="DFS-brev">
    <w:name w:val="DFS-brev"/>
    <w:basedOn w:val="Standardskrifttypeiafsnit"/>
    <w:uiPriority w:val="1"/>
    <w:qFormat/>
    <w:rsid w:val="00A72648"/>
  </w:style>
  <w:style w:type="character" w:styleId="Kraftig">
    <w:name w:val="Strong"/>
    <w:basedOn w:val="Standardskrifttypeiafsnit"/>
    <w:uiPriority w:val="22"/>
    <w:qFormat/>
    <w:rsid w:val="00A72648"/>
    <w:rPr>
      <w:b/>
      <w:bCs/>
    </w:rPr>
  </w:style>
  <w:style w:type="paragraph" w:styleId="Normalweb">
    <w:name w:val="Normal (Web)"/>
    <w:basedOn w:val="Normal"/>
    <w:uiPriority w:val="99"/>
    <w:unhideWhenUsed/>
    <w:rsid w:val="00A726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2039E7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C134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3482"/>
  </w:style>
  <w:style w:type="character" w:styleId="Sidetal">
    <w:name w:val="page number"/>
    <w:basedOn w:val="Standardskrifttypeiafsnit"/>
    <w:uiPriority w:val="99"/>
    <w:semiHidden/>
    <w:unhideWhenUsed/>
    <w:rsid w:val="00C1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earningcities.uil.unesco.org/news-and-events/news/2015-06-26-towards-building-sustainable-learning-cities/6c8dfdd9bcfd532a0958c2a15e011c48" TargetMode="External"/><Relationship Id="rId9" Type="http://schemas.openxmlformats.org/officeDocument/2006/relationships/hyperlink" Target="http://learningcities.uil.unesco.org/fileadmin/content/Publications/Conference/Beijing_Declaration_EN.pdf" TargetMode="External"/><Relationship Id="rId10" Type="http://schemas.openxmlformats.org/officeDocument/2006/relationships/hyperlink" Target="http://learningcities.uil.unesco.org/key-features/key-features-of-learning-cities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792</Words>
  <Characters>4834</Characters>
  <Application>Microsoft Macintosh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Johan Juhl Nielsen</dc:creator>
  <cp:keywords/>
  <dc:description/>
  <cp:lastModifiedBy>Niels Johan Juhl Nielsen</cp:lastModifiedBy>
  <cp:revision>10</cp:revision>
  <dcterms:created xsi:type="dcterms:W3CDTF">2015-09-21T11:38:00Z</dcterms:created>
  <dcterms:modified xsi:type="dcterms:W3CDTF">2015-09-22T06:19:00Z</dcterms:modified>
</cp:coreProperties>
</file>